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Petition to the court: outline</w:t>
      </w:r>
    </w:p>
    <w:p>
      <w:pPr>
        <w:pStyle w:val="Author"/>
      </w:pPr>
      <w:r>
        <w:t xml:space="preserve">Sustainable Victoria Network</w:t>
      </w:r>
    </w:p>
    <w:p>
      <w:pPr>
        <w:pStyle w:val="FirstParagraph"/>
      </w:pPr>
      <w:r>
        <w:rPr>
          <w:b/>
          <w:bCs/>
        </w:rPr>
        <w:t xml:space="preserve">How to use this outline.</w:t>
      </w:r>
      <w:r>
        <w:t xml:space="preserve"> </w:t>
      </w:r>
      <w:r>
        <w:t xml:space="preserve">This follows the layout the Supreme Court of British Columbia requires for a petition (Form 66 of the Supreme Court Civil Rules): four parts, in this order, under these headings. Every bracket is yours to fill in your own words. Keep the facts in Part 2 to what your sworn statements prove. Delete these notes before you file. This outline is general information from the Sustainable Victoria Network, not legal advice; if you can, have a lawyer read it before it is filed.</w:t>
      </w:r>
    </w:p>
    <w:p>
      <w:r>
        <w:pict>
          <v:rect style="width:0;height:1.5pt" o:hralign="center" o:hrstd="t" o:hr="t"/>
        </w:pict>
      </w:r>
    </w:p>
    <w:p>
      <w:pPr>
        <w:pStyle w:val="FirstParagraph"/>
      </w:pPr>
      <w:r>
        <w:t xml:space="preserve">No. [left blank; the registry assigns the number]</w:t>
      </w:r>
    </w:p>
    <w:p>
      <w:pPr>
        <w:pStyle w:val="BodyText"/>
      </w:pPr>
      <w:r>
        <w:t xml:space="preserve">Victoria Registry</w:t>
      </w:r>
    </w:p>
    <w:p>
      <w:pPr>
        <w:pStyle w:val="BodyText"/>
      </w:pPr>
      <w:r>
        <w:t xml:space="preserve">In the Supreme Court of British Columbia</w:t>
      </w:r>
    </w:p>
    <w:p>
      <w:pPr>
        <w:pStyle w:val="BodyText"/>
      </w:pPr>
      <w:r>
        <w:t xml:space="preserve">Between:</w:t>
      </w:r>
    </w:p>
    <w:p>
      <w:pPr>
        <w:pStyle w:val="BodyText"/>
      </w:pPr>
      <w:r>
        <w:t xml:space="preserve">[Full name], [Full name], [Full name] and [Full name]</w:t>
      </w:r>
    </w:p>
    <w:p>
      <w:pPr>
        <w:pStyle w:val="BodyText"/>
      </w:pPr>
      <w:r>
        <w:t xml:space="preserve">Petitioners</w:t>
      </w:r>
    </w:p>
    <w:p>
      <w:pPr>
        <w:pStyle w:val="BodyText"/>
      </w:pPr>
      <w:r>
        <w:t xml:space="preserve">And:</w:t>
      </w:r>
    </w:p>
    <w:p>
      <w:pPr>
        <w:pStyle w:val="BodyText"/>
      </w:pPr>
      <w:r>
        <w:t xml:space="preserve">[The respondents, by full name: the City of Victoria; its chief election officer; and everyone whose interests the orders could affect, which is every councillor declared elected if you ask that the council election be declared invalid, or the one councillor if you challenge one seat. See steps 4 and 6 of the pack. Each respondent is served personally: the City through its city clerk or mayor.]</w:t>
      </w:r>
    </w:p>
    <w:p>
      <w:pPr>
        <w:pStyle w:val="BodyText"/>
      </w:pPr>
      <w:r>
        <w:t xml:space="preserve">Respondents</w:t>
      </w:r>
    </w:p>
    <w:bookmarkStart w:id="13" w:name="petition-to-the-court"/>
    <w:p>
      <w:pPr>
        <w:pStyle w:val="Heading1"/>
      </w:pPr>
      <w:r>
        <w:t xml:space="preserve">PETITION TO THE COURT</w:t>
      </w:r>
    </w:p>
    <w:p>
      <w:pPr>
        <w:pStyle w:val="FirstParagraph"/>
      </w:pPr>
      <w:r>
        <w:t xml:space="preserve">ON NOTICE TO: [the name and address of each respondent]</w:t>
      </w:r>
    </w:p>
    <w:p>
      <w:pPr>
        <w:pStyle w:val="BodyText"/>
      </w:pPr>
      <w:r>
        <w:t xml:space="preserve">This proceeding has been started by the petitioners for the relief set out in Part 1 below.</w:t>
      </w:r>
    </w:p>
    <w:p>
      <w:pPr>
        <w:pStyle w:val="BodyText"/>
      </w:pPr>
      <w:r>
        <w:t xml:space="preserve">If you intend to respond to this petition, you or your lawyer must (a) file a response to petition in Form 67 in the above-named registry of this court within the time for response to petition described below, and (b) serve on the petitioners (i) 2 copies of the filed response to petition, and (ii) 2 copies of each filed affidavit on which you intend to rely at the hearing.</w:t>
      </w:r>
    </w:p>
    <w:p>
      <w:pPr>
        <w:pStyle w:val="BodyText"/>
      </w:pPr>
      <w:r>
        <w:t xml:space="preserve">Orders, including orders granting the relief claimed, may be made against you, without any further notice to you, if you fail to file the response to petition within the time for response.</w:t>
      </w:r>
    </w:p>
    <w:p>
      <w:pPr>
        <w:pStyle w:val="BodyText"/>
      </w:pPr>
      <w:r>
        <w:rPr>
          <w:b/>
          <w:bCs/>
        </w:rPr>
        <w:t xml:space="preserve">Time for response to petition.</w:t>
      </w:r>
      <w:r>
        <w:t xml:space="preserve"> </w:t>
      </w:r>
      <w:r>
        <w:t xml:space="preserve">A response to petition must be filed and served on the petitioners, (a) if you were served with the petition anywhere in Canada, within 21 days after that service, (b) if you were served with the petition anywhere in the United States of America, within 35 days after that service, (c) if you were served with the petition anywhere else, within 49 days after that service, or (d) if the time for response has been set by order of the court, within that time.</w:t>
      </w:r>
    </w:p>
    <w:p>
      <w:pPr>
        <w:pStyle w:val="BodyText"/>
      </w:pPr>
      <w:r>
        <w:t xml:space="preserve">[Note, delete before filing: section 153 (7) of the Local Government Act makes the registry set the hearing between 10 and 21 days after the petition is filed, which is shorter than the 21 days above. Ask the registry when you file, or a lawyer before, whether the court should set a shorter time for response under (d).]</w:t>
      </w:r>
    </w:p>
    <w:p>
      <w:pPr>
        <w:pStyle w:val="BodyText"/>
      </w:pPr>
      <w:r>
        <w:t xml:space="preserve">The address of the registry is: 850 Burdett Avenue, Victoria, British Columbia V8W 9J2</w:t>
      </w:r>
    </w:p>
    <w:p>
      <w:pPr>
        <w:pStyle w:val="BodyText"/>
      </w:pPr>
      <w:r>
        <w:t xml:space="preserve">The petitioners estimate that the hearing of the petition will take [one half day / one day].</w:t>
      </w:r>
    </w:p>
    <w:p>
      <w:pPr>
        <w:pStyle w:val="BodyText"/>
      </w:pPr>
      <w:r>
        <w:t xml:space="preserve">[X] This matter is not an application for judicial review.</w:t>
      </w:r>
    </w:p>
    <w:p>
      <w:pPr>
        <w:pStyle w:val="BodyText"/>
      </w:pPr>
      <w:r>
        <w:t xml:space="preserve">This proceeding is brought for the relief set out in Part 1 below, by the persons named as petitioners in the style of proceedings above.</w:t>
      </w:r>
    </w:p>
    <w:p>
      <w:pPr>
        <w:numPr>
          <w:ilvl w:val="0"/>
          <w:numId w:val="1001"/>
        </w:numPr>
      </w:pPr>
      <w:r>
        <w:t xml:space="preserve">The ADDRESS FOR SERVICE of the petitioners is: [one street address in British Columbia where documents can be delivered to you]. E-mail address for service (if any) of the petitioners: [email].</w:t>
      </w:r>
    </w:p>
    <w:p>
      <w:pPr>
        <w:numPr>
          <w:ilvl w:val="0"/>
          <w:numId w:val="1001"/>
        </w:numPr>
      </w:pPr>
      <w:r>
        <w:t xml:space="preserve">The name and office address of the petitioners’ lawyer is: [name and address, or leave blank if the petitioners act for themselves].</w:t>
      </w:r>
    </w:p>
    <w:bookmarkStart w:id="9" w:name="part-1-orders-sought"/>
    <w:p>
      <w:pPr>
        <w:pStyle w:val="Heading2"/>
      </w:pPr>
      <w:r>
        <w:t xml:space="preserve">Part 1: ORDERS SOUGHT</w:t>
      </w:r>
    </w:p>
    <w:p>
      <w:pPr>
        <w:numPr>
          <w:ilvl w:val="0"/>
          <w:numId w:val="1002"/>
        </w:numPr>
      </w:pPr>
      <w:r>
        <w:t xml:space="preserve">A declaration under section 155 (2) of the Local Government Act, RSBC 2015, c. 1, that the 2026 general local election for [council / the office of councillor] of the City of Victoria is invalid, on the basis in section 153 (5) (b) that it was not conducted in accordance with the Act [and the City of Victoria’s election bylaw], and that [the offices that were to be filled are vacant / the office is vacant].</w:t>
      </w:r>
    </w:p>
    <w:p>
      <w:pPr>
        <w:numPr>
          <w:ilvl w:val="0"/>
          <w:numId w:val="1002"/>
        </w:numPr>
      </w:pPr>
      <w:r>
        <w:t xml:space="preserve">[If you ask for it:] A declaration that [name], declared elected to [office] on October 21, 2026, was not validly elected.</w:t>
      </w:r>
    </w:p>
    <w:p>
      <w:pPr>
        <w:numPr>
          <w:ilvl w:val="0"/>
          <w:numId w:val="1002"/>
        </w:numPr>
      </w:pPr>
      <w:r>
        <w:t xml:space="preserve">An order under section 160(9) of the Local Government Act that the chief election officer and the City of Victoria preserve every ballot, ballot account, certification envelope, mail ballot package, voting book, voters list and record of the 2026 general local election, including the mail ballot packages received after the close of voting, until this petition and any appeal are decided.</w:t>
      </w:r>
    </w:p>
    <w:p>
      <w:pPr>
        <w:numPr>
          <w:ilvl w:val="0"/>
          <w:numId w:val="1002"/>
        </w:numPr>
      </w:pPr>
      <w:r>
        <w:t xml:space="preserve">[Any other order you ask for, for example an order that a new election be held for the office concerned.]</w:t>
      </w:r>
    </w:p>
    <w:p>
      <w:pPr>
        <w:numPr>
          <w:ilvl w:val="0"/>
          <w:numId w:val="1002"/>
        </w:numPr>
      </w:pPr>
      <w:r>
        <w:t xml:space="preserve">Costs, [or: an order that each party bear its own costs].</w:t>
      </w:r>
    </w:p>
    <w:bookmarkEnd w:id="9"/>
    <w:bookmarkStart w:id="10" w:name="part-2-factual-basis"/>
    <w:p>
      <w:pPr>
        <w:pStyle w:val="Heading2"/>
      </w:pPr>
      <w:r>
        <w:t xml:space="preserve">Part 2: FACTUAL BASIS</w:t>
      </w:r>
    </w:p>
    <w:p>
      <w:pPr>
        <w:pStyle w:val="FirstParagraph"/>
      </w:pPr>
      <w:r>
        <w:t xml:space="preserve">[Short numbered paragraphs, each one a fact your affidavits prove. For example:]</w:t>
      </w:r>
    </w:p>
    <w:p>
      <w:pPr>
        <w:numPr>
          <w:ilvl w:val="0"/>
          <w:numId w:val="1003"/>
        </w:numPr>
      </w:pPr>
      <w:r>
        <w:t xml:space="preserve">The petitioners are electors of the City of Victoria who were entitled to vote in its general local election held on October 17, 2026. (Affidavits of [names].)</w:t>
      </w:r>
    </w:p>
    <w:p>
      <w:pPr>
        <w:numPr>
          <w:ilvl w:val="0"/>
          <w:numId w:val="1003"/>
        </w:numPr>
      </w:pPr>
      <w:r>
        <w:t xml:space="preserve">[Number] electors requested mail ballot packages from the City. The City has said that 3,435 did. (Affidavit of [name], Exhibit [ ].)</w:t>
      </w:r>
    </w:p>
    <w:p>
      <w:pPr>
        <w:numPr>
          <w:ilvl w:val="0"/>
          <w:numId w:val="1003"/>
        </w:numPr>
      </w:pPr>
      <w:r>
        <w:t xml:space="preserve">About 2,300 mail ballot packages were held undelivered at a Canada Post facility until [date]. The City’s chief election officer has said the City learned of this on October 7, 2026, and the City told electors on October 13, 2026. (Affidavit of [name], Exhibits [ ].)</w:t>
      </w:r>
    </w:p>
    <w:p>
      <w:pPr>
        <w:numPr>
          <w:ilvl w:val="0"/>
          <w:numId w:val="1003"/>
        </w:numPr>
      </w:pPr>
      <w:r>
        <w:t xml:space="preserve">Each of the petitioners [and the electors whose affidavits are filed] requested a mail ballot and did not receive one in time to vote, and could not vote in person for the reasons set out in their affidavits. None of them cast a vote that was counted.</w:t>
      </w:r>
    </w:p>
    <w:p>
      <w:pPr>
        <w:numPr>
          <w:ilvl w:val="0"/>
          <w:numId w:val="1003"/>
        </w:numPr>
      </w:pPr>
      <w:r>
        <w:t xml:space="preserve">On election day, [describe the voting place failures your affidavits prove, with places and times].</w:t>
      </w:r>
    </w:p>
    <w:p>
      <w:pPr>
        <w:numPr>
          <w:ilvl w:val="0"/>
          <w:numId w:val="1003"/>
        </w:numPr>
      </w:pPr>
      <w:r>
        <w:t xml:space="preserve">The chief election officer declared the official results on October 21, 2026. The eighth and last seat on council was decided by 15 votes. (Exhibit [ ].)</w:t>
      </w:r>
    </w:p>
    <w:p>
      <w:pPr>
        <w:numPr>
          <w:ilvl w:val="0"/>
          <w:numId w:val="1003"/>
        </w:numPr>
      </w:pPr>
      <w:r>
        <w:t xml:space="preserve">[Any further fact that your evidence proves, one paragraph each.]</w:t>
      </w:r>
    </w:p>
    <w:bookmarkEnd w:id="10"/>
    <w:bookmarkStart w:id="11" w:name="part-3-legal-basis"/>
    <w:p>
      <w:pPr>
        <w:pStyle w:val="Heading2"/>
      </w:pPr>
      <w:r>
        <w:t xml:space="preserve">Part 3: LEGAL BASIS</w:t>
      </w:r>
    </w:p>
    <w:p>
      <w:pPr>
        <w:numPr>
          <w:ilvl w:val="0"/>
          <w:numId w:val="1004"/>
        </w:numPr>
      </w:pPr>
      <w:r>
        <w:t xml:space="preserve">Local Government Act, RSBC 2015, c. 1, section 153 (application to the court respecting the validity of an election), section 154 (hearing), section 155 (power of the court), section 160 (election materials), and section 110 (mail ballot voting). [Quote the subsections you rely on from the pack.]</w:t>
      </w:r>
    </w:p>
    <w:p>
      <w:pPr>
        <w:numPr>
          <w:ilvl w:val="0"/>
          <w:numId w:val="1004"/>
        </w:numPr>
      </w:pPr>
      <w:r>
        <w:t xml:space="preserve">Supreme Court Civil Rules, B.C. Reg. 168/2009, Rule 16-1 (petitions).</w:t>
      </w:r>
    </w:p>
    <w:p>
      <w:pPr>
        <w:numPr>
          <w:ilvl w:val="0"/>
          <w:numId w:val="1004"/>
        </w:numPr>
      </w:pPr>
      <w:r>
        <w:t xml:space="preserve">[State the ground in one or two sentences: the election was not conducted in accordance with the Act because [ ], and the irregularity materially affected the result because [the number of electors shown by the affidavits to have been prevented from voting equals or exceeds the margin of 15 votes by which the last seat was decided].]</w:t>
      </w:r>
    </w:p>
    <w:p>
      <w:pPr>
        <w:numPr>
          <w:ilvl w:val="0"/>
          <w:numId w:val="1004"/>
        </w:numPr>
      </w:pPr>
      <w:r>
        <w:t xml:space="preserve">Once an irregularity is established, the onus is on the party supporting the validity of the election to show that it did not materially affect the result: Sadler v. Town of Gibsons, 2009 BCSC 138 at para. 20; Duperron v. School District No. 53 (Okanagan Similkameen), 2017 BCSC 20 at para. 43; Alberni-Clayoquot (Regional District) (Re), 2019 BCSC 20 at paras. 34 to 36.</w:t>
      </w:r>
    </w:p>
    <w:p>
      <w:pPr>
        <w:numPr>
          <w:ilvl w:val="0"/>
          <w:numId w:val="1004"/>
        </w:numPr>
      </w:pPr>
      <w:r>
        <w:t xml:space="preserve">The</w:t>
      </w:r>
      <w:r>
        <w:t xml:space="preserve"> </w:t>
      </w:r>
      <w:r>
        <w:t xml:space="preserve">“magic number”</w:t>
      </w:r>
      <w:r>
        <w:t xml:space="preserve"> </w:t>
      </w:r>
      <w:r>
        <w:t xml:space="preserve">test: Opitz v. Wrzesnewskyj, 2012 SCC 55 at paras. 71 to 75, applied in Alberni-Clayoquot at paras. 43 and 44 and in Drummond v. Powell River (City), 2019 BCSC 92 at paras. 21 to 26; Sinclair-Desgagné v. Canada (Chief Electoral Officer), 2026 SCC 31 (a mail-in ballot defeated by an official’s error; election annulled).</w:t>
      </w:r>
    </w:p>
    <w:p>
      <w:pPr>
        <w:numPr>
          <w:ilvl w:val="0"/>
          <w:numId w:val="1004"/>
        </w:numPr>
      </w:pPr>
      <w:r>
        <w:t xml:space="preserve">Rule 22-4 (2) of the Supreme Court Civil Rules: the petitioners ask that the time for response to petition be shortened so that the hearing can proceed on the date set under section 153 (7) of the Local Government Act.</w:t>
      </w:r>
    </w:p>
    <w:bookmarkEnd w:id="11"/>
    <w:bookmarkStart w:id="12" w:name="part-4-material-to-be-relied-on"/>
    <w:p>
      <w:pPr>
        <w:pStyle w:val="Heading2"/>
      </w:pPr>
      <w:r>
        <w:t xml:space="preserve">Part 4: MATERIAL TO BE RELIED ON</w:t>
      </w:r>
    </w:p>
    <w:p>
      <w:pPr>
        <w:numPr>
          <w:ilvl w:val="0"/>
          <w:numId w:val="1005"/>
        </w:numPr>
      </w:pPr>
      <w:r>
        <w:t xml:space="preserve">Affidavit of [name], sworn [date].</w:t>
      </w:r>
    </w:p>
    <w:p>
      <w:pPr>
        <w:numPr>
          <w:ilvl w:val="0"/>
          <w:numId w:val="1005"/>
        </w:numPr>
      </w:pPr>
      <w:r>
        <w:t xml:space="preserve">Affidavit of [name], sworn [date].</w:t>
      </w:r>
    </w:p>
    <w:p>
      <w:pPr>
        <w:numPr>
          <w:ilvl w:val="0"/>
          <w:numId w:val="1005"/>
        </w:numPr>
      </w:pPr>
      <w:r>
        <w:t xml:space="preserve">[One line for each affidavit and each other document.]</w:t>
      </w:r>
    </w:p>
    <w:p>
      <w:pPr>
        <w:pStyle w:val="FirstParagraph"/>
      </w:pPr>
      <w:r>
        <w:t xml:space="preserve">Date: [day/month/year]</w:t>
      </w:r>
    </w:p>
    <w:p>
      <w:r>
        <w:pict>
          <v:rect style="width:0;height:1.5pt" o:hralign="center" o:hrstd="t" o:hr="t"/>
        </w:pict>
      </w:r>
    </w:p>
    <w:p>
      <w:pPr>
        <w:pStyle w:val="FirstParagraph"/>
      </w:pPr>
      <w:r>
        <w:t xml:space="preserve">Signature of [ ] petitioner [ ] lawyer for petitioners</w:t>
      </w:r>
      <w:r>
        <w:t xml:space="preserve"> </w:t>
      </w:r>
      <w:r>
        <w:t xml:space="preserve">[Type or print name]</w:t>
      </w:r>
    </w:p>
    <w:p>
      <w:r>
        <w:pict>
          <v:rect style="width:0;height:1.5pt" o:hralign="center" o:hrstd="t" o:hr="t"/>
        </w:pict>
      </w:r>
    </w:p>
    <w:p>
      <w:pPr>
        <w:pStyle w:val="FirstParagraph"/>
      </w:pPr>
      <w:r>
        <w:rPr>
          <w:i/>
          <w:iCs/>
        </w:rPr>
        <w:t xml:space="preserve">To be completed by the court only.</w:t>
      </w:r>
    </w:p>
    <w:p>
      <w:pPr>
        <w:pStyle w:val="BodyText"/>
      </w:pPr>
      <w:r>
        <w:t xml:space="preserve">Order made [ ] in the terms requested in paragraphs ______ of Part 1 of this petition [ ] with the following variations and additional terms: ____________________</w:t>
      </w:r>
    </w:p>
    <w:p>
      <w:pPr>
        <w:pStyle w:val="BodyText"/>
      </w:pPr>
      <w:r>
        <w:t xml:space="preserve">Date: ______________ ______________________________ Signature of [ ] Judge [ ] Associate Judge</w:t>
      </w:r>
    </w:p>
    <w:p>
      <w:r>
        <w:pict>
          <v:rect style="width:0;height:1.5pt" o:hralign="center" o:hrstd="t" o:hr="t"/>
        </w:pict>
      </w:r>
    </w:p>
    <w:p>
      <w:pPr>
        <w:pStyle w:val="FirstParagraph"/>
      </w:pPr>
      <w:r>
        <w:rPr>
          <w:i/>
          <w:iCs/>
        </w:rPr>
        <w:t xml:space="preserve">With the petition, the registry issues the notice of hearing (Form 68) for the date it sets. Section 153 (8) of the Local Government Act: the petition and the notice of hearing must be served on the City of Victoria no later than two days after filing.</w:t>
      </w:r>
    </w:p>
    <w:bookmarkEnd w:id="12"/>
    <w:bookmarkEnd w:id="13"/>
    <w:sectPr w:rsidR="00B0642C" w:rsidRPr="00A072B8">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0"/>
    <w:multiLevelType w:val="multilevel"/>
    <w:tmpl w:val="DC02B4FA"/>
    <w:lvl w:ilvl="0">
      <w:numFmt w:val="bullet"/>
      <w:lvlText w:val=" "/>
      <w:lvlJc w:val="left"/>
      <w:pPr>
        <w:ind w:hanging="360" w:left="720"/>
      </w:pPr>
    </w:lvl>
    <w:lvl w:ilvl="1">
      <w:numFmt w:val="bullet"/>
      <w:lvlText w:val=" "/>
      <w:lvlJc w:val="left"/>
      <w:pPr>
        <w:ind w:hanging="360" w:left="1440"/>
      </w:pPr>
    </w:lvl>
    <w:lvl w:ilvl="2">
      <w:numFmt w:val="bullet"/>
      <w:lvlText w:val=" "/>
      <w:lvlJc w:val="left"/>
      <w:pPr>
        <w:ind w:hanging="360" w:left="2160"/>
      </w:pPr>
    </w:lvl>
    <w:lvl w:ilvl="3">
      <w:numFmt w:val="bullet"/>
      <w:lvlText w:val=" "/>
      <w:lvlJc w:val="left"/>
      <w:pPr>
        <w:ind w:hanging="360" w:left="2880"/>
      </w:pPr>
    </w:lvl>
    <w:lvl w:ilvl="4">
      <w:numFmt w:val="bullet"/>
      <w:lvlText w:val=" "/>
      <w:lvlJc w:val="left"/>
      <w:pPr>
        <w:ind w:hanging="360" w:left="3600"/>
      </w:pPr>
    </w:lvl>
    <w:lvl w:ilvl="5">
      <w:numFmt w:val="bullet"/>
      <w:lvlText w:val=" "/>
      <w:lvlJc w:val="left"/>
      <w:pPr>
        <w:ind w:hanging="360" w:left="4320"/>
      </w:pPr>
    </w:lvl>
    <w:lvl w:ilvl="6">
      <w:numFmt w:val="bullet"/>
      <w:lvlText w:val=" "/>
      <w:lvlJc w:val="left"/>
      <w:pPr>
        <w:ind w:hanging="360" w:left="5040"/>
      </w:pPr>
    </w:lvl>
    <w:lvl w:ilvl="7">
      <w:numFmt w:val="bullet"/>
      <w:lvlText w:val=" "/>
      <w:lvlJc w:val="left"/>
      <w:pPr>
        <w:ind w:hanging="360" w:left="5760"/>
      </w:pPr>
    </w:lvl>
    <w:lvl w:ilvl="8">
      <w:numFmt w:val="bullet"/>
      <w:lvlText w:val=" "/>
      <w:lvlJc w:val="left"/>
      <w:pPr>
        <w:ind w:hanging="360" w:left="6480"/>
      </w:pPr>
    </w:lvl>
  </w:abstractNum>
  <w:abstractNum w15:restartNumberingAfterBreak="0" w:abstractNumId="1">
    <w:nsid w:val="0000A991"/>
    <w:multiLevelType w:val="multilevel"/>
    <w:tmpl w:val="D43EFE40"/>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2">
    <w:nsid w:val="00A99411"/>
    <w:multiLevelType w:val="multilevel"/>
    <w:tmpl w:val="3664F010"/>
    <w:lvl w:ilvl="0">
      <w:start w:val="1"/>
      <w:numFmt w:val="decimal"/>
      <w:lvlText w:val="%1."/>
      <w:lvlJc w:val="left"/>
      <w:pPr>
        <w:ind w:hanging="360" w:left="720"/>
      </w:pPr>
    </w:lvl>
    <w:lvl w:ilvl="1">
      <w:start w:val="1"/>
      <w:numFmt w:val="decimal"/>
      <w:lvlText w:val="%2."/>
      <w:lvlJc w:val="left"/>
      <w:pPr>
        <w:ind w:hanging="360" w:left="1440"/>
      </w:pPr>
    </w:lvl>
    <w:lvl w:ilvl="2">
      <w:start w:val="1"/>
      <w:numFmt w:val="decimal"/>
      <w:lvlText w:val="%3."/>
      <w:lvlJc w:val="left"/>
      <w:pPr>
        <w:ind w:hanging="360" w:left="2160"/>
      </w:pPr>
    </w:lvl>
    <w:lvl w:ilvl="3">
      <w:start w:val="1"/>
      <w:numFmt w:val="decimal"/>
      <w:lvlText w:val="%4."/>
      <w:lvlJc w:val="left"/>
      <w:pPr>
        <w:ind w:hanging="360" w:left="2880"/>
      </w:pPr>
    </w:lvl>
    <w:lvl w:ilvl="4">
      <w:start w:val="1"/>
      <w:numFmt w:val="decimal"/>
      <w:lvlText w:val="%5."/>
      <w:lvlJc w:val="left"/>
      <w:pPr>
        <w:ind w:hanging="360" w:left="3600"/>
      </w:pPr>
    </w:lvl>
    <w:lvl w:ilvl="5">
      <w:start w:val="1"/>
      <w:numFmt w:val="decimal"/>
      <w:lvlText w:val="%6."/>
      <w:lvlJc w:val="left"/>
      <w:pPr>
        <w:ind w:hanging="360" w:left="4320"/>
      </w:pPr>
    </w:lvl>
    <w:lvl w:ilvl="6">
      <w:start w:val="1"/>
      <w:numFmt w:val="decimal"/>
      <w:lvlText w:val="%7."/>
      <w:lvlJc w:val="left"/>
      <w:pPr>
        <w:ind w:hanging="360" w:left="5040"/>
      </w:pPr>
    </w:lvl>
    <w:lvl w:ilvl="7">
      <w:start w:val="1"/>
      <w:numFmt w:val="decimal"/>
      <w:lvlText w:val="%8."/>
      <w:lvlJc w:val="left"/>
      <w:pPr>
        <w:ind w:hanging="360" w:left="5760"/>
      </w:pPr>
    </w:lvl>
    <w:lvl w:ilvl="8">
      <w:start w:val="1"/>
      <w:numFmt w:val="decimal"/>
      <w:lvlText w:val="%9."/>
      <w:lvlJc w:val="left"/>
      <w:pPr>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26821060" w:numId="1">
    <w:abstractNumId w:val="0"/>
  </w:num>
  <w:num w16cid:durableId="1974679699"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520584564" w:numId="3">
    <w:abstractNumId w:val="1"/>
  </w:num>
  <w:num w16cid:durableId="165101310" w:numId="4">
    <w:abstractNumId w:val="1"/>
  </w:num>
  <w:num w16cid:durableId="2044741863"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773672525"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500045481" w:numId="7">
    <w:abstractNumId w:val="1"/>
  </w: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5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B0642C"/>
    <w:rsid w:val="00387EBE"/>
    <w:rsid w:val="00631752"/>
    <w:rsid w:val="007455D6"/>
    <w:rsid w:val="00A072B8"/>
    <w:rsid w:val="00B0642C"/>
    <w:rsid w:val="00B50BF6"/>
    <w:rsid w:val="00BC3D06"/>
    <w:rsid w:val="00BE2AE0"/>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Pr>
      <w:color w:themeColor="accent1" w:val="156082"/>
    </w:rPr>
  </w:style>
  <w:style w:styleId="TOCHeading" w:type="paragraph">
    <w:name w:val="TOC Heading"/>
    <w:basedOn w:val="Heading1"/>
    <w:next w:val="BodyText"/>
    <w:uiPriority w:val="39"/>
    <w:unhideWhenUsed/>
    <w:qFormat/>
    <w:pPr>
      <w:spacing w:before="240" w:line="259" w:lineRule="auto"/>
      <w:outlineLvl w:val="9"/>
    </w:p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b/>
      <w:color w:val="008000"/>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color w:val="008000"/>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2215</Words>
  <Characters>12629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Victoria’s 2026 election: what the law allows, and what to do now</vt:lpstr>
    </vt:vector>
  </TitlesOfParts>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to the court: outline</dc:title>
  <dc:creator>Sustainable Victoria Network</dc:creator>
  <cp:keywords/>
  <dcterms:created xsi:type="dcterms:W3CDTF">2026-11-03T02:39:33Z</dcterms:created>
  <dcterms:modified xsi:type="dcterms:W3CDTF">2026-11-03T02:39:33Z</dcterms:modified>
</cp:coreProperties>
</file>

<file path=docProps/custom.xml><?xml version="1.0" encoding="utf-8"?>
<Properties xmlns="http://schemas.openxmlformats.org/officeDocument/2006/custom-properties" xmlns:vt="http://schemas.openxmlformats.org/officeDocument/2006/docPropsVTypes"/>
</file>